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B4" w:rsidRPr="006C04A0" w:rsidRDefault="00CA7BB4" w:rsidP="00CA7BB4">
      <w:pPr>
        <w:spacing w:line="276" w:lineRule="auto"/>
        <w:ind w:firstLine="709"/>
        <w:contextualSpacing/>
        <w:jc w:val="center"/>
        <w:rPr>
          <w:b/>
          <w:kern w:val="2"/>
          <w:sz w:val="32"/>
          <w:szCs w:val="32"/>
        </w:rPr>
      </w:pPr>
      <w:r w:rsidRPr="006C04A0">
        <w:rPr>
          <w:b/>
          <w:kern w:val="2"/>
          <w:sz w:val="32"/>
          <w:szCs w:val="32"/>
        </w:rPr>
        <w:t xml:space="preserve">Информация об итогах деятельности </w:t>
      </w:r>
    </w:p>
    <w:p w:rsidR="00CA7BB4" w:rsidRPr="006C04A0" w:rsidRDefault="00052A7B" w:rsidP="00CA7BB4">
      <w:pPr>
        <w:spacing w:line="276" w:lineRule="auto"/>
        <w:ind w:firstLine="709"/>
        <w:contextualSpacing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Финансового управления города Волгодонска</w:t>
      </w:r>
      <w:r w:rsidR="00CA7BB4" w:rsidRPr="006C04A0">
        <w:rPr>
          <w:b/>
          <w:kern w:val="2"/>
          <w:sz w:val="32"/>
          <w:szCs w:val="32"/>
        </w:rPr>
        <w:t xml:space="preserve"> за 2017 год</w:t>
      </w:r>
    </w:p>
    <w:p w:rsidR="00CA7BB4" w:rsidRPr="006C04A0" w:rsidRDefault="00CA7BB4" w:rsidP="00CA7BB4">
      <w:pPr>
        <w:keepNext/>
        <w:jc w:val="center"/>
        <w:outlineLvl w:val="0"/>
        <w:rPr>
          <w:bCs/>
          <w:sz w:val="32"/>
          <w:szCs w:val="32"/>
        </w:rPr>
      </w:pPr>
    </w:p>
    <w:p w:rsidR="00FA5C1C" w:rsidRPr="00FA5C1C" w:rsidRDefault="00520D15" w:rsidP="00520D15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6C04A0">
        <w:rPr>
          <w:sz w:val="32"/>
          <w:szCs w:val="32"/>
        </w:rPr>
        <w:t>1.</w:t>
      </w:r>
      <w:r w:rsidR="00874D9D" w:rsidRPr="006C04A0">
        <w:rPr>
          <w:sz w:val="32"/>
          <w:szCs w:val="32"/>
        </w:rPr>
        <w:tab/>
      </w:r>
      <w:r w:rsidR="00657FD5" w:rsidRPr="00C77D83">
        <w:rPr>
          <w:sz w:val="32"/>
          <w:szCs w:val="32"/>
        </w:rPr>
        <w:t>Подготовлены Решения Волгодонской городской Думы:  10 изменений в решение Волгодонской городской Думы от 08.12.2016 №75 «О бюджете города Волгодонска на 2017 год и на плановый период 2018 и 2019 годов»</w:t>
      </w:r>
      <w:r w:rsidR="00657FD5">
        <w:rPr>
          <w:sz w:val="32"/>
          <w:szCs w:val="32"/>
        </w:rPr>
        <w:t xml:space="preserve">,  </w:t>
      </w:r>
      <w:r w:rsidR="00657FD5" w:rsidRPr="009B15E8">
        <w:rPr>
          <w:bCs/>
          <w:sz w:val="32"/>
          <w:szCs w:val="32"/>
        </w:rPr>
        <w:t>3 изменения в решение Волгодонской городской Думы от 05.09.2007 № 110 «О бюджетном процессе в городе Волгодонске», 1 изменение в решение Волгодонской городской Думы от 06.02.2008 № 7 «Об утверждении Положения о Финансовом управлении города Волгодонска в новой редакции и его структуры»</w:t>
      </w:r>
      <w:r w:rsidR="00657FD5">
        <w:rPr>
          <w:bCs/>
          <w:sz w:val="32"/>
          <w:szCs w:val="32"/>
        </w:rPr>
        <w:t xml:space="preserve">, </w:t>
      </w:r>
      <w:r w:rsidR="00FA5C1C">
        <w:rPr>
          <w:sz w:val="32"/>
          <w:szCs w:val="32"/>
        </w:rPr>
        <w:t>1 изменение в решение Волгодонской городской Думы</w:t>
      </w:r>
      <w:r w:rsidR="00FA5C1C" w:rsidRPr="00B36D5A">
        <w:rPr>
          <w:sz w:val="32"/>
          <w:szCs w:val="32"/>
        </w:rPr>
        <w:t xml:space="preserve"> </w:t>
      </w:r>
      <w:r w:rsidR="00FA5C1C">
        <w:rPr>
          <w:sz w:val="32"/>
          <w:szCs w:val="32"/>
        </w:rPr>
        <w:t>от 20.10.2016 № 65 «Об установлении земельного налога» в целях уменьшения налоговых преференций и установления льгот для организаций в рамках реализации инвестиционных проектов,</w:t>
      </w:r>
      <w:r w:rsidR="00FA5C1C" w:rsidRPr="00B36D5A">
        <w:rPr>
          <w:sz w:val="32"/>
          <w:szCs w:val="32"/>
        </w:rPr>
        <w:t xml:space="preserve"> </w:t>
      </w:r>
      <w:r w:rsidR="00FA5C1C">
        <w:rPr>
          <w:sz w:val="32"/>
          <w:szCs w:val="32"/>
        </w:rPr>
        <w:t xml:space="preserve">принято решение Волгодонской городской Думы от 12.10.2017 № 81 «О налоге на имущество физических лиц» в </w:t>
      </w:r>
      <w:r w:rsidR="00FA5C1C" w:rsidRPr="00FA5C1C">
        <w:rPr>
          <w:sz w:val="32"/>
          <w:szCs w:val="32"/>
        </w:rPr>
        <w:t>целях определения налоговой базы по налогу на имущество физических лиц исходя из кадастровой стоимости объектов налогообложения</w:t>
      </w:r>
      <w:r w:rsidR="00B83326">
        <w:rPr>
          <w:sz w:val="32"/>
          <w:szCs w:val="32"/>
        </w:rPr>
        <w:t>.</w:t>
      </w:r>
    </w:p>
    <w:p w:rsidR="00FA5C1C" w:rsidRPr="00B36D5A" w:rsidRDefault="00520D15" w:rsidP="00B83326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A5C1C">
        <w:rPr>
          <w:sz w:val="32"/>
          <w:szCs w:val="32"/>
        </w:rPr>
        <w:t>2.</w:t>
      </w:r>
      <w:r w:rsidR="00FA5C1C">
        <w:rPr>
          <w:sz w:val="32"/>
          <w:szCs w:val="32"/>
        </w:rPr>
        <w:tab/>
      </w:r>
      <w:r w:rsidR="00FA5C1C" w:rsidRPr="00FA5C1C">
        <w:rPr>
          <w:sz w:val="32"/>
          <w:szCs w:val="32"/>
        </w:rPr>
        <w:t>В 2017 году обеспечено поступление в местный бюджет 1 511,9 млн рублей собственных налоговых и неналоговых доходов с темпом роста к 2016 году 103,1 процента (+ 45,9 млн рублей).</w:t>
      </w:r>
      <w:r w:rsidR="00FA5C1C" w:rsidRPr="00B36D5A">
        <w:rPr>
          <w:sz w:val="32"/>
          <w:szCs w:val="32"/>
        </w:rPr>
        <w:t xml:space="preserve"> В 2017 году снижен рост недоимки, в 2016 году рост недоимки составил 61,7 млн рублей, в 2017 году 28,4 млн рублей. </w:t>
      </w:r>
    </w:p>
    <w:p w:rsidR="00CA7BB4" w:rsidRPr="00FA5C1C" w:rsidRDefault="00FA5C1C" w:rsidP="00FA5C1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FA5C1C">
        <w:rPr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="00CA7BB4" w:rsidRPr="00FA5C1C">
        <w:rPr>
          <w:sz w:val="32"/>
          <w:szCs w:val="32"/>
        </w:rPr>
        <w:t xml:space="preserve">Разработан и утвержден План мероприятий («дорожная карта») по увеличению поступлений налоговых и неналоговых доходов </w:t>
      </w:r>
      <w:r w:rsidRPr="00FA5C1C">
        <w:rPr>
          <w:sz w:val="32"/>
          <w:szCs w:val="32"/>
        </w:rPr>
        <w:t>бюджета города Волгодонска</w:t>
      </w:r>
      <w:r w:rsidR="00CA7BB4" w:rsidRPr="00FA5C1C">
        <w:rPr>
          <w:sz w:val="32"/>
          <w:szCs w:val="32"/>
        </w:rPr>
        <w:t xml:space="preserve"> на 2017 - 2019 годы.</w:t>
      </w:r>
    </w:p>
    <w:p w:rsidR="00FA5C1C" w:rsidRPr="00B36D5A" w:rsidRDefault="00FA5C1C" w:rsidP="00FA5C1C">
      <w:pPr>
        <w:pStyle w:val="a8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r w:rsidRPr="00B36D5A">
        <w:rPr>
          <w:sz w:val="32"/>
          <w:szCs w:val="32"/>
        </w:rPr>
        <w:t>В целях наращивания экономического потенциала города введены льготы по земельному налогу организациям – в отношении земельных участков, предоставленных для строительства в рамках реализации инвестиционных проектов.</w:t>
      </w:r>
    </w:p>
    <w:p w:rsidR="00FA5C1C" w:rsidRPr="00B36D5A" w:rsidRDefault="00FA5C1C" w:rsidP="00FA5C1C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B36D5A">
        <w:rPr>
          <w:sz w:val="32"/>
          <w:szCs w:val="32"/>
        </w:rPr>
        <w:t xml:space="preserve">Проведен анализ эффективности и обоснованности местных налоговых льгот (преференций). Результаты оценки эффективности налоговых льгот (преференций) рассмотрены на Коллегии Администрации города. Льготы (преференции) утратившие свою актуальность, отменены. </w:t>
      </w:r>
    </w:p>
    <w:p w:rsidR="00FA5C1C" w:rsidRPr="00B36D5A" w:rsidRDefault="00FA5C1C" w:rsidP="00FA5C1C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B36D5A">
        <w:rPr>
          <w:sz w:val="32"/>
          <w:szCs w:val="32"/>
        </w:rPr>
        <w:lastRenderedPageBreak/>
        <w:t xml:space="preserve">Осуществлен переход с 1 января 2018 года на новый порядок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FA5C1C" w:rsidRDefault="00FA5C1C" w:rsidP="00FA5C1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B36D5A">
        <w:rPr>
          <w:sz w:val="32"/>
          <w:szCs w:val="32"/>
        </w:rPr>
        <w:t xml:space="preserve">Разработана положение и организована работа по ведению реестров источников доходов местного бюджета. </w:t>
      </w:r>
    </w:p>
    <w:p w:rsidR="004C5D6F" w:rsidRDefault="00A84E5C" w:rsidP="00E44441">
      <w:pPr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002AAA">
        <w:rPr>
          <w:sz w:val="32"/>
          <w:szCs w:val="32"/>
        </w:rPr>
        <w:t>Проведены конкурсные процедуры на привлечение 2 банковских кредитов с ПАО Сбербанк на общую сумму 120,0 млн рублей</w:t>
      </w:r>
      <w:r>
        <w:rPr>
          <w:sz w:val="32"/>
          <w:szCs w:val="32"/>
        </w:rPr>
        <w:t>.</w:t>
      </w:r>
      <w:r w:rsidR="00E44441">
        <w:rPr>
          <w:sz w:val="32"/>
          <w:szCs w:val="32"/>
        </w:rPr>
        <w:t xml:space="preserve"> </w:t>
      </w:r>
    </w:p>
    <w:p w:rsidR="004C5D6F" w:rsidRPr="008F0403" w:rsidRDefault="004C5D6F" w:rsidP="00E44441">
      <w:pPr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8F0403">
        <w:rPr>
          <w:sz w:val="32"/>
          <w:szCs w:val="32"/>
        </w:rPr>
        <w:t xml:space="preserve">Экономия на обслуживание </w:t>
      </w:r>
      <w:r>
        <w:rPr>
          <w:sz w:val="32"/>
          <w:szCs w:val="32"/>
        </w:rPr>
        <w:t>муниципального долга</w:t>
      </w:r>
      <w:r w:rsidRPr="008F0403">
        <w:rPr>
          <w:sz w:val="32"/>
          <w:szCs w:val="32"/>
        </w:rPr>
        <w:t xml:space="preserve"> в результате проведения взвешенной долговой политики составила 5,8 млн рублей.</w:t>
      </w:r>
    </w:p>
    <w:p w:rsidR="004C5D6F" w:rsidRPr="009B62DF" w:rsidRDefault="004C5D6F" w:rsidP="00E44441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9B62DF">
        <w:rPr>
          <w:sz w:val="32"/>
          <w:szCs w:val="32"/>
        </w:rPr>
        <w:t>На повышение заработной платы отдельных категорий работников, установленных программными указами, в 2017 году направлено 35,9 млн рублей, в том числе за счет созданн</w:t>
      </w:r>
      <w:r w:rsidR="00C649F2">
        <w:rPr>
          <w:sz w:val="32"/>
          <w:szCs w:val="32"/>
        </w:rPr>
        <w:t>ых</w:t>
      </w:r>
      <w:r w:rsidRPr="009B62DF">
        <w:rPr>
          <w:sz w:val="32"/>
          <w:szCs w:val="32"/>
        </w:rPr>
        <w:t xml:space="preserve"> в местном бюджете резерв</w:t>
      </w:r>
      <w:r w:rsidR="00C649F2">
        <w:rPr>
          <w:sz w:val="32"/>
          <w:szCs w:val="32"/>
        </w:rPr>
        <w:t>ов</w:t>
      </w:r>
      <w:r w:rsidRPr="009B62DF">
        <w:rPr>
          <w:sz w:val="32"/>
          <w:szCs w:val="32"/>
        </w:rPr>
        <w:t xml:space="preserve"> – 10,0 млн рублей.</w:t>
      </w:r>
    </w:p>
    <w:p w:rsidR="00817D5B" w:rsidRPr="00D3166A" w:rsidRDefault="00817D5B" w:rsidP="00E44441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D3166A">
        <w:rPr>
          <w:sz w:val="32"/>
          <w:szCs w:val="32"/>
        </w:rPr>
        <w:t>Сформированы и доведены до главных распорядителей средств местного бюджета предельные показатели расходов местного бюджета.</w:t>
      </w:r>
    </w:p>
    <w:p w:rsidR="00817D5B" w:rsidRPr="00D3166A" w:rsidRDefault="00817D5B" w:rsidP="003E677E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D3166A">
        <w:rPr>
          <w:sz w:val="32"/>
          <w:szCs w:val="32"/>
        </w:rPr>
        <w:t>Разработаны и приняты:</w:t>
      </w:r>
    </w:p>
    <w:p w:rsidR="00817D5B" w:rsidRPr="00D3166A" w:rsidRDefault="00817D5B" w:rsidP="003E677E">
      <w:pPr>
        <w:ind w:firstLine="709"/>
        <w:jc w:val="both"/>
        <w:rPr>
          <w:sz w:val="32"/>
          <w:szCs w:val="32"/>
        </w:rPr>
      </w:pPr>
      <w:r w:rsidRPr="00D3166A">
        <w:rPr>
          <w:sz w:val="32"/>
          <w:szCs w:val="32"/>
        </w:rPr>
        <w:t xml:space="preserve">– программа оптимизации расходов </w:t>
      </w:r>
      <w:r>
        <w:rPr>
          <w:sz w:val="32"/>
          <w:szCs w:val="32"/>
        </w:rPr>
        <w:t>местного</w:t>
      </w:r>
      <w:r w:rsidRPr="00D3166A">
        <w:rPr>
          <w:sz w:val="32"/>
          <w:szCs w:val="32"/>
        </w:rPr>
        <w:t xml:space="preserve"> бюджета на 2017 – 2019 годы;</w:t>
      </w:r>
    </w:p>
    <w:p w:rsidR="00817D5B" w:rsidRPr="00A51149" w:rsidRDefault="00817D5B" w:rsidP="003E677E">
      <w:pPr>
        <w:ind w:firstLine="709"/>
        <w:jc w:val="both"/>
        <w:rPr>
          <w:sz w:val="32"/>
          <w:szCs w:val="32"/>
        </w:rPr>
      </w:pPr>
      <w:r w:rsidRPr="00A51149">
        <w:rPr>
          <w:sz w:val="32"/>
          <w:szCs w:val="32"/>
        </w:rPr>
        <w:t>– план мероприятий, направленных на выявление и отмену расходных обязательств, не связанных с решением вопросов, местного значения;</w:t>
      </w:r>
    </w:p>
    <w:p w:rsidR="00817D5B" w:rsidRPr="00D3166A" w:rsidRDefault="00817D5B" w:rsidP="003E677E">
      <w:pPr>
        <w:pStyle w:val="a8"/>
        <w:ind w:left="0" w:firstLine="709"/>
        <w:jc w:val="both"/>
        <w:rPr>
          <w:sz w:val="32"/>
          <w:szCs w:val="32"/>
        </w:rPr>
      </w:pPr>
      <w:r w:rsidRPr="00D3166A">
        <w:rPr>
          <w:sz w:val="32"/>
          <w:szCs w:val="32"/>
        </w:rPr>
        <w:t>- изменения в Методику и порядок планирования бюджетных ассигнований;</w:t>
      </w:r>
    </w:p>
    <w:p w:rsidR="00817D5B" w:rsidRPr="00D3166A" w:rsidRDefault="00817D5B" w:rsidP="003E677E">
      <w:pPr>
        <w:pStyle w:val="a8"/>
        <w:ind w:left="0" w:firstLine="709"/>
        <w:jc w:val="both"/>
        <w:rPr>
          <w:sz w:val="32"/>
          <w:szCs w:val="32"/>
        </w:rPr>
      </w:pPr>
      <w:r w:rsidRPr="00D3166A">
        <w:rPr>
          <w:sz w:val="32"/>
          <w:szCs w:val="32"/>
        </w:rPr>
        <w:t xml:space="preserve">- типовая форма соглашения о предоставлении из </w:t>
      </w:r>
      <w:r>
        <w:rPr>
          <w:sz w:val="32"/>
          <w:szCs w:val="32"/>
        </w:rPr>
        <w:t xml:space="preserve">местного </w:t>
      </w:r>
      <w:r w:rsidRPr="00D3166A">
        <w:rPr>
          <w:sz w:val="32"/>
          <w:szCs w:val="32"/>
        </w:rPr>
        <w:t>бюджета субсидий некоммерческим организациям.</w:t>
      </w:r>
    </w:p>
    <w:p w:rsidR="00C10523" w:rsidRPr="0007279F" w:rsidRDefault="00C10523" w:rsidP="00052A7B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07279F">
        <w:rPr>
          <w:sz w:val="32"/>
          <w:szCs w:val="32"/>
        </w:rPr>
        <w:t>В рамках санкционирования оплаты денежных обязательств объем проверенных средств составил 4</w:t>
      </w:r>
      <w:r w:rsidR="008F7E1D">
        <w:rPr>
          <w:sz w:val="32"/>
          <w:szCs w:val="32"/>
        </w:rPr>
        <w:t>040,4</w:t>
      </w:r>
      <w:r w:rsidRPr="0007279F">
        <w:rPr>
          <w:sz w:val="32"/>
          <w:szCs w:val="32"/>
        </w:rPr>
        <w:t xml:space="preserve"> млн. рублей по 33,6 тыс. заявок на оплату расходов, из них отказано 0,9 тыс. заявок на сумму 99,8 млн. рублей. Процент отказанных заявок составил 2,6% от общего количества заявок.</w:t>
      </w:r>
    </w:p>
    <w:p w:rsidR="009B3507" w:rsidRPr="0007279F" w:rsidRDefault="00CA7BB4" w:rsidP="00052A7B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07279F">
        <w:rPr>
          <w:sz w:val="32"/>
          <w:szCs w:val="32"/>
        </w:rPr>
        <w:t>В 2017 г</w:t>
      </w:r>
      <w:r w:rsidR="00CD0E82" w:rsidRPr="0007279F">
        <w:rPr>
          <w:sz w:val="32"/>
          <w:szCs w:val="32"/>
        </w:rPr>
        <w:t>оду на исполнении находилось 11</w:t>
      </w:r>
      <w:r w:rsidRPr="0007279F">
        <w:rPr>
          <w:sz w:val="32"/>
          <w:szCs w:val="32"/>
        </w:rPr>
        <w:t xml:space="preserve"> исполнительных листов </w:t>
      </w:r>
      <w:r w:rsidR="00C10523" w:rsidRPr="0007279F">
        <w:rPr>
          <w:sz w:val="32"/>
          <w:szCs w:val="32"/>
        </w:rPr>
        <w:t xml:space="preserve">за счет средств казны </w:t>
      </w:r>
      <w:r w:rsidRPr="0007279F">
        <w:rPr>
          <w:sz w:val="32"/>
          <w:szCs w:val="32"/>
        </w:rPr>
        <w:t>на о</w:t>
      </w:r>
      <w:r w:rsidR="00CD0E82" w:rsidRPr="0007279F">
        <w:rPr>
          <w:sz w:val="32"/>
          <w:szCs w:val="32"/>
        </w:rPr>
        <w:t>бщую сумму 19,7</w:t>
      </w:r>
      <w:r w:rsidR="00A463AB" w:rsidRPr="0007279F">
        <w:rPr>
          <w:sz w:val="32"/>
          <w:szCs w:val="32"/>
        </w:rPr>
        <w:t xml:space="preserve"> </w:t>
      </w:r>
      <w:r w:rsidR="00157A18" w:rsidRPr="0007279F">
        <w:rPr>
          <w:sz w:val="32"/>
          <w:szCs w:val="32"/>
        </w:rPr>
        <w:t xml:space="preserve">млн </w:t>
      </w:r>
      <w:r w:rsidR="00A463AB" w:rsidRPr="0007279F">
        <w:rPr>
          <w:sz w:val="32"/>
          <w:szCs w:val="32"/>
        </w:rPr>
        <w:t xml:space="preserve">рублей. </w:t>
      </w:r>
    </w:p>
    <w:p w:rsidR="002E7B2E" w:rsidRPr="005A3FA3" w:rsidRDefault="002E7B2E" w:rsidP="00052A7B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5A3FA3">
        <w:rPr>
          <w:sz w:val="32"/>
          <w:szCs w:val="32"/>
        </w:rPr>
        <w:lastRenderedPageBreak/>
        <w:t>План осуществления Финансовым управлением  внутреннего финансового контроля на 2017 год выполнен в полном объеме.</w:t>
      </w:r>
    </w:p>
    <w:p w:rsidR="00FA2DF7" w:rsidRPr="00124A39" w:rsidRDefault="00FA2DF7" w:rsidP="00FA2DF7">
      <w:pPr>
        <w:pStyle w:val="a8"/>
        <w:numPr>
          <w:ilvl w:val="0"/>
          <w:numId w:val="7"/>
        </w:numPr>
        <w:ind w:left="0" w:firstLine="708"/>
        <w:jc w:val="both"/>
        <w:rPr>
          <w:sz w:val="32"/>
          <w:szCs w:val="32"/>
        </w:rPr>
      </w:pPr>
      <w:r w:rsidRPr="00124A39">
        <w:rPr>
          <w:sz w:val="32"/>
          <w:szCs w:val="32"/>
        </w:rPr>
        <w:t>Обеспечено исполнение полномочий, закрепленных с 01.01.2017 за финансовыми органами,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системе.</w:t>
      </w:r>
    </w:p>
    <w:p w:rsidR="00FA2DF7" w:rsidRPr="00124A39" w:rsidRDefault="00FA2DF7" w:rsidP="00FA2DF7">
      <w:pPr>
        <w:pStyle w:val="a8"/>
        <w:ind w:left="0" w:firstLine="709"/>
        <w:jc w:val="both"/>
        <w:rPr>
          <w:sz w:val="32"/>
          <w:szCs w:val="32"/>
        </w:rPr>
      </w:pPr>
      <w:r w:rsidRPr="00124A39">
        <w:rPr>
          <w:sz w:val="32"/>
          <w:szCs w:val="32"/>
        </w:rPr>
        <w:t>Контроль осуществлен в отношении всех закупок 11 главных распорядителей средств местного бюджета и 89 подведомственных учреждений.</w:t>
      </w:r>
    </w:p>
    <w:p w:rsidR="00CA7BB4" w:rsidRPr="00CD0E82" w:rsidRDefault="001A17CB" w:rsidP="00052A7B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Сотрудниками Ф</w:t>
      </w:r>
      <w:r w:rsidR="00CA7BB4" w:rsidRPr="00CD0E82">
        <w:rPr>
          <w:sz w:val="32"/>
          <w:szCs w:val="32"/>
        </w:rPr>
        <w:t>инансов</w:t>
      </w:r>
      <w:r w:rsidR="009D09E4">
        <w:rPr>
          <w:sz w:val="32"/>
          <w:szCs w:val="32"/>
        </w:rPr>
        <w:t>ого управления города Волгодонска</w:t>
      </w:r>
      <w:r w:rsidR="00CA7BB4" w:rsidRPr="00CD0E82">
        <w:rPr>
          <w:sz w:val="32"/>
          <w:szCs w:val="32"/>
        </w:rPr>
        <w:t xml:space="preserve"> в Благотворительный фонд «Самбекские высоты» перечислено </w:t>
      </w:r>
      <w:r w:rsidR="00AD2869">
        <w:rPr>
          <w:sz w:val="32"/>
          <w:szCs w:val="32"/>
        </w:rPr>
        <w:t>11,1</w:t>
      </w:r>
      <w:r w:rsidR="00CA7BB4" w:rsidRPr="00CD0E82">
        <w:rPr>
          <w:sz w:val="32"/>
          <w:szCs w:val="32"/>
        </w:rPr>
        <w:t xml:space="preserve"> тыс. рублей, в том </w:t>
      </w:r>
      <w:r w:rsidR="00AD2869">
        <w:rPr>
          <w:sz w:val="32"/>
          <w:szCs w:val="32"/>
        </w:rPr>
        <w:t>числе в июне</w:t>
      </w:r>
      <w:r w:rsidR="00CD0E82" w:rsidRPr="00CD0E82">
        <w:rPr>
          <w:sz w:val="32"/>
          <w:szCs w:val="32"/>
        </w:rPr>
        <w:t xml:space="preserve"> 2017 года – </w:t>
      </w:r>
      <w:r w:rsidR="00AD2869">
        <w:rPr>
          <w:sz w:val="32"/>
          <w:szCs w:val="32"/>
        </w:rPr>
        <w:t>9,1</w:t>
      </w:r>
      <w:r w:rsidR="00CA7BB4" w:rsidRPr="00CD0E82">
        <w:rPr>
          <w:sz w:val="32"/>
          <w:szCs w:val="32"/>
        </w:rPr>
        <w:t xml:space="preserve"> тыс. </w:t>
      </w:r>
      <w:r w:rsidR="00AD2869">
        <w:rPr>
          <w:sz w:val="32"/>
          <w:szCs w:val="32"/>
        </w:rPr>
        <w:t>рублей, в августе</w:t>
      </w:r>
      <w:r w:rsidR="00CD0E82" w:rsidRPr="00CD0E82">
        <w:rPr>
          <w:sz w:val="32"/>
          <w:szCs w:val="32"/>
        </w:rPr>
        <w:t xml:space="preserve"> 2017 года – </w:t>
      </w:r>
      <w:r w:rsidR="00AD2869">
        <w:rPr>
          <w:sz w:val="32"/>
          <w:szCs w:val="32"/>
        </w:rPr>
        <w:t xml:space="preserve">2,0 </w:t>
      </w:r>
      <w:r w:rsidR="00CA7BB4" w:rsidRPr="00CD0E82">
        <w:rPr>
          <w:sz w:val="32"/>
          <w:szCs w:val="32"/>
        </w:rPr>
        <w:t>тыс. рублей.</w:t>
      </w:r>
    </w:p>
    <w:p w:rsidR="00052A7B" w:rsidRPr="005A3FA3" w:rsidRDefault="00052A7B" w:rsidP="00052A7B">
      <w:pPr>
        <w:pStyle w:val="a8"/>
        <w:numPr>
          <w:ilvl w:val="0"/>
          <w:numId w:val="7"/>
        </w:numPr>
        <w:ind w:left="0" w:firstLine="709"/>
        <w:jc w:val="both"/>
        <w:rPr>
          <w:sz w:val="32"/>
          <w:szCs w:val="32"/>
        </w:rPr>
      </w:pPr>
      <w:r w:rsidRPr="005A3FA3">
        <w:rPr>
          <w:sz w:val="32"/>
          <w:szCs w:val="32"/>
        </w:rPr>
        <w:t>Результаты работы Финансового управления города Волгодонска отмечены на областном уровне:</w:t>
      </w:r>
    </w:p>
    <w:p w:rsidR="00052A7B" w:rsidRPr="005A3FA3" w:rsidRDefault="00052A7B" w:rsidP="00052A7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5A3FA3">
        <w:rPr>
          <w:sz w:val="32"/>
          <w:szCs w:val="32"/>
        </w:rPr>
        <w:t xml:space="preserve">- достигнута </w:t>
      </w:r>
      <w:r w:rsidRPr="005A3FA3">
        <w:rPr>
          <w:sz w:val="32"/>
          <w:szCs w:val="32"/>
          <w:lang w:val="en-US"/>
        </w:rPr>
        <w:t>I</w:t>
      </w:r>
      <w:r w:rsidRPr="005A3FA3">
        <w:rPr>
          <w:sz w:val="32"/>
          <w:szCs w:val="32"/>
        </w:rPr>
        <w:t xml:space="preserve"> степень качества управления финансами за 2017</w:t>
      </w:r>
      <w:r>
        <w:rPr>
          <w:sz w:val="32"/>
          <w:szCs w:val="32"/>
        </w:rPr>
        <w:t xml:space="preserve"> год.</w:t>
      </w:r>
    </w:p>
    <w:p w:rsidR="00CA7BB4" w:rsidRPr="00157A18" w:rsidRDefault="00CA7BB4" w:rsidP="00052A7B">
      <w:pPr>
        <w:ind w:firstLine="709"/>
        <w:jc w:val="both"/>
        <w:rPr>
          <w:sz w:val="20"/>
          <w:szCs w:val="20"/>
        </w:rPr>
      </w:pPr>
    </w:p>
    <w:sectPr w:rsidR="00CA7BB4" w:rsidRPr="00157A18" w:rsidSect="00817D5B">
      <w:footerReference w:type="default" r:id="rId7"/>
      <w:type w:val="continuous"/>
      <w:pgSz w:w="11909" w:h="16834" w:code="9"/>
      <w:pgMar w:top="1134" w:right="567" w:bottom="1134" w:left="1843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6A" w:rsidRDefault="00FB4C6A" w:rsidP="00CA7BB4">
      <w:r>
        <w:separator/>
      </w:r>
    </w:p>
  </w:endnote>
  <w:endnote w:type="continuationSeparator" w:id="0">
    <w:p w:rsidR="00FB4C6A" w:rsidRDefault="00FB4C6A" w:rsidP="00CA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B4" w:rsidRDefault="00CA7BB4">
    <w:pPr>
      <w:pStyle w:val="ab"/>
      <w:jc w:val="right"/>
    </w:pPr>
  </w:p>
  <w:p w:rsidR="00CA7BB4" w:rsidRDefault="00CA7B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6A" w:rsidRDefault="00FB4C6A" w:rsidP="00CA7BB4">
      <w:r>
        <w:separator/>
      </w:r>
    </w:p>
  </w:footnote>
  <w:footnote w:type="continuationSeparator" w:id="0">
    <w:p w:rsidR="00FB4C6A" w:rsidRDefault="00FB4C6A" w:rsidP="00CA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6FC1FBB"/>
    <w:multiLevelType w:val="hybridMultilevel"/>
    <w:tmpl w:val="CC2E928A"/>
    <w:lvl w:ilvl="0" w:tplc="208A9F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4EC6479"/>
    <w:multiLevelType w:val="hybridMultilevel"/>
    <w:tmpl w:val="20DE3B22"/>
    <w:lvl w:ilvl="0" w:tplc="73646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20A5A08"/>
    <w:multiLevelType w:val="hybridMultilevel"/>
    <w:tmpl w:val="FDC2C2FE"/>
    <w:lvl w:ilvl="0" w:tplc="73646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75236A"/>
    <w:multiLevelType w:val="hybridMultilevel"/>
    <w:tmpl w:val="443C0BF2"/>
    <w:lvl w:ilvl="0" w:tplc="9B78E7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1F4D09"/>
    <w:multiLevelType w:val="hybridMultilevel"/>
    <w:tmpl w:val="9C1C4CDA"/>
    <w:lvl w:ilvl="0" w:tplc="00D64D6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D121AA"/>
    <w:multiLevelType w:val="hybridMultilevel"/>
    <w:tmpl w:val="FDC2C2FE"/>
    <w:lvl w:ilvl="0" w:tplc="73646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NotTrackMov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BAF"/>
    <w:rsid w:val="00007B76"/>
    <w:rsid w:val="000372F0"/>
    <w:rsid w:val="00052A7B"/>
    <w:rsid w:val="0007279F"/>
    <w:rsid w:val="000730CC"/>
    <w:rsid w:val="000A0EBA"/>
    <w:rsid w:val="000B134B"/>
    <w:rsid w:val="000B7EE2"/>
    <w:rsid w:val="000C1BBC"/>
    <w:rsid w:val="000D4BAF"/>
    <w:rsid w:val="000E00BC"/>
    <w:rsid w:val="00125104"/>
    <w:rsid w:val="00144769"/>
    <w:rsid w:val="00157A18"/>
    <w:rsid w:val="00163002"/>
    <w:rsid w:val="001953F0"/>
    <w:rsid w:val="001A17CB"/>
    <w:rsid w:val="00203716"/>
    <w:rsid w:val="002464E8"/>
    <w:rsid w:val="00247189"/>
    <w:rsid w:val="002B5619"/>
    <w:rsid w:val="002D4556"/>
    <w:rsid w:val="002E232E"/>
    <w:rsid w:val="002E7B2E"/>
    <w:rsid w:val="002F0096"/>
    <w:rsid w:val="00306FE9"/>
    <w:rsid w:val="0031799A"/>
    <w:rsid w:val="00320238"/>
    <w:rsid w:val="003468D2"/>
    <w:rsid w:val="00355B59"/>
    <w:rsid w:val="003C64DF"/>
    <w:rsid w:val="003E677E"/>
    <w:rsid w:val="004163BA"/>
    <w:rsid w:val="00486692"/>
    <w:rsid w:val="00487CEB"/>
    <w:rsid w:val="004B0CAD"/>
    <w:rsid w:val="004B7955"/>
    <w:rsid w:val="004C5D6F"/>
    <w:rsid w:val="004F0728"/>
    <w:rsid w:val="004F7DD2"/>
    <w:rsid w:val="0051324D"/>
    <w:rsid w:val="00520D15"/>
    <w:rsid w:val="00571A7C"/>
    <w:rsid w:val="005E3FC6"/>
    <w:rsid w:val="00610BE7"/>
    <w:rsid w:val="00646878"/>
    <w:rsid w:val="00657FD5"/>
    <w:rsid w:val="006864C6"/>
    <w:rsid w:val="006C04A0"/>
    <w:rsid w:val="006D2FE2"/>
    <w:rsid w:val="006F52B3"/>
    <w:rsid w:val="00750BF9"/>
    <w:rsid w:val="00765D05"/>
    <w:rsid w:val="00773F1A"/>
    <w:rsid w:val="007D49FB"/>
    <w:rsid w:val="007D7708"/>
    <w:rsid w:val="007E4DA5"/>
    <w:rsid w:val="00817D5B"/>
    <w:rsid w:val="00874D9D"/>
    <w:rsid w:val="008877EF"/>
    <w:rsid w:val="00891FAE"/>
    <w:rsid w:val="008A3A00"/>
    <w:rsid w:val="008C0B01"/>
    <w:rsid w:val="008C7E83"/>
    <w:rsid w:val="008F016C"/>
    <w:rsid w:val="008F6123"/>
    <w:rsid w:val="008F7E1D"/>
    <w:rsid w:val="00912860"/>
    <w:rsid w:val="00954A9F"/>
    <w:rsid w:val="0097466D"/>
    <w:rsid w:val="00982453"/>
    <w:rsid w:val="00984C47"/>
    <w:rsid w:val="00994F8D"/>
    <w:rsid w:val="009B3507"/>
    <w:rsid w:val="009B67E5"/>
    <w:rsid w:val="009D09E4"/>
    <w:rsid w:val="00A40DD0"/>
    <w:rsid w:val="00A463AB"/>
    <w:rsid w:val="00A84E5C"/>
    <w:rsid w:val="00AA6D27"/>
    <w:rsid w:val="00AD2869"/>
    <w:rsid w:val="00B21FD2"/>
    <w:rsid w:val="00B24CBB"/>
    <w:rsid w:val="00B31564"/>
    <w:rsid w:val="00B67552"/>
    <w:rsid w:val="00B83326"/>
    <w:rsid w:val="00BA0184"/>
    <w:rsid w:val="00BA1B16"/>
    <w:rsid w:val="00BC2999"/>
    <w:rsid w:val="00BF5233"/>
    <w:rsid w:val="00C10523"/>
    <w:rsid w:val="00C34008"/>
    <w:rsid w:val="00C559F8"/>
    <w:rsid w:val="00C649F2"/>
    <w:rsid w:val="00C67134"/>
    <w:rsid w:val="00C94BD1"/>
    <w:rsid w:val="00CA7BB4"/>
    <w:rsid w:val="00CB115A"/>
    <w:rsid w:val="00CD0E82"/>
    <w:rsid w:val="00CE0051"/>
    <w:rsid w:val="00D05584"/>
    <w:rsid w:val="00D26B7F"/>
    <w:rsid w:val="00D34996"/>
    <w:rsid w:val="00D42EEF"/>
    <w:rsid w:val="00DB655A"/>
    <w:rsid w:val="00DD2FC8"/>
    <w:rsid w:val="00DD70AD"/>
    <w:rsid w:val="00E22C22"/>
    <w:rsid w:val="00E44441"/>
    <w:rsid w:val="00E54915"/>
    <w:rsid w:val="00E738FD"/>
    <w:rsid w:val="00E913A2"/>
    <w:rsid w:val="00EA239E"/>
    <w:rsid w:val="00F01A60"/>
    <w:rsid w:val="00FA2DF7"/>
    <w:rsid w:val="00FA5C1C"/>
    <w:rsid w:val="00FB4C6A"/>
    <w:rsid w:val="00FE2789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No Spacing"/>
    <w:uiPriority w:val="1"/>
    <w:qFormat/>
    <w:rsid w:val="00306FE9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306FE9"/>
    <w:rPr>
      <w:b/>
      <w:bCs/>
    </w:rPr>
  </w:style>
  <w:style w:type="paragraph" w:styleId="a8">
    <w:name w:val="List Paragraph"/>
    <w:basedOn w:val="a"/>
    <w:uiPriority w:val="34"/>
    <w:qFormat/>
    <w:rsid w:val="00CA7BB4"/>
    <w:pPr>
      <w:ind w:left="720"/>
      <w:contextualSpacing/>
    </w:pPr>
    <w:rPr>
      <w:sz w:val="28"/>
      <w:szCs w:val="20"/>
    </w:rPr>
  </w:style>
  <w:style w:type="paragraph" w:styleId="a9">
    <w:name w:val="header"/>
    <w:basedOn w:val="a"/>
    <w:link w:val="aa"/>
    <w:rsid w:val="00CA7BB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CA7BB4"/>
    <w:rPr>
      <w:sz w:val="24"/>
      <w:szCs w:val="24"/>
    </w:rPr>
  </w:style>
  <w:style w:type="paragraph" w:styleId="ab">
    <w:name w:val="footer"/>
    <w:basedOn w:val="a"/>
    <w:link w:val="ac"/>
    <w:uiPriority w:val="99"/>
    <w:rsid w:val="00CA7BB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A7B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Горбунов</cp:lastModifiedBy>
  <cp:revision>2</cp:revision>
  <cp:lastPrinted>2018-04-17T13:42:00Z</cp:lastPrinted>
  <dcterms:created xsi:type="dcterms:W3CDTF">2018-04-17T13:55:00Z</dcterms:created>
  <dcterms:modified xsi:type="dcterms:W3CDTF">2018-04-17T13:55:00Z</dcterms:modified>
</cp:coreProperties>
</file>